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B" w:rsidRDefault="008B3041" w:rsidP="00AD572E">
      <w:r>
        <w:t xml:space="preserve"> </w:t>
      </w:r>
    </w:p>
    <w:p w:rsidR="008B3041" w:rsidRPr="008B3041" w:rsidRDefault="008B3041" w:rsidP="00AD572E">
      <w:pPr>
        <w:rPr>
          <w:b/>
          <w:sz w:val="24"/>
          <w:szCs w:val="24"/>
        </w:rPr>
      </w:pPr>
      <w:r w:rsidRPr="008B3041">
        <w:rPr>
          <w:b/>
          <w:sz w:val="24"/>
          <w:szCs w:val="24"/>
        </w:rPr>
        <w:t>September 3, 2020</w:t>
      </w:r>
    </w:p>
    <w:p w:rsidR="008B3041" w:rsidRPr="008B3041" w:rsidRDefault="008B3041" w:rsidP="00AD572E">
      <w:pPr>
        <w:rPr>
          <w:b/>
          <w:sz w:val="24"/>
          <w:szCs w:val="24"/>
        </w:rPr>
      </w:pPr>
      <w:r w:rsidRPr="008B3041">
        <w:rPr>
          <w:b/>
          <w:sz w:val="24"/>
          <w:szCs w:val="24"/>
        </w:rPr>
        <w:t>For Immediate Release</w:t>
      </w:r>
    </w:p>
    <w:p w:rsidR="005F0858" w:rsidRPr="005F0858" w:rsidRDefault="008B3041" w:rsidP="00AD5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RE: DC Department of Corrections Responds to Recent Increase in Inmate Population</w:t>
      </w:r>
    </w:p>
    <w:p w:rsidR="005F0858" w:rsidRDefault="005F0858" w:rsidP="005F0858">
      <w:pPr>
        <w:pStyle w:val="BodyText"/>
        <w:spacing w:before="26" w:line="244" w:lineRule="auto"/>
        <w:ind w:right="126"/>
        <w:rPr>
          <w:color w:val="201F1E"/>
          <w:w w:val="105"/>
        </w:rPr>
      </w:pPr>
      <w:bookmarkStart w:id="0" w:name="_GoBack"/>
      <w:bookmarkEnd w:id="0"/>
    </w:p>
    <w:p w:rsidR="005F0858" w:rsidRDefault="005F0858" w:rsidP="005F0858">
      <w:pPr>
        <w:pStyle w:val="BodyText"/>
        <w:spacing w:before="26" w:line="244" w:lineRule="auto"/>
        <w:ind w:right="126"/>
      </w:pPr>
      <w:r>
        <w:rPr>
          <w:color w:val="201F1E"/>
          <w:w w:val="105"/>
        </w:rPr>
        <w:t>The DC Corrections Information Council monitors population</w:t>
      </w:r>
      <w:r>
        <w:rPr>
          <w:color w:val="201F1E"/>
          <w:spacing w:val="-21"/>
          <w:w w:val="105"/>
        </w:rPr>
        <w:t xml:space="preserve"> </w:t>
      </w:r>
      <w:r>
        <w:rPr>
          <w:color w:val="201F1E"/>
          <w:w w:val="105"/>
        </w:rPr>
        <w:t>reports</w:t>
      </w:r>
      <w:r>
        <w:rPr>
          <w:color w:val="201F1E"/>
          <w:spacing w:val="-20"/>
          <w:w w:val="105"/>
        </w:rPr>
        <w:t xml:space="preserve"> </w:t>
      </w:r>
      <w:r>
        <w:rPr>
          <w:color w:val="201F1E"/>
          <w:w w:val="105"/>
        </w:rPr>
        <w:t>from</w:t>
      </w:r>
      <w:r>
        <w:rPr>
          <w:color w:val="201F1E"/>
          <w:spacing w:val="-20"/>
          <w:w w:val="105"/>
        </w:rPr>
        <w:t xml:space="preserve"> </w:t>
      </w:r>
      <w:r>
        <w:rPr>
          <w:color w:val="201F1E"/>
          <w:w w:val="105"/>
        </w:rPr>
        <w:t>the</w:t>
      </w:r>
      <w:r>
        <w:rPr>
          <w:color w:val="201F1E"/>
          <w:spacing w:val="-20"/>
          <w:w w:val="105"/>
        </w:rPr>
        <w:t xml:space="preserve"> </w:t>
      </w:r>
      <w:hyperlink r:id="rId7" w:history="1">
        <w:r w:rsidRPr="001324E3">
          <w:rPr>
            <w:rStyle w:val="Hyperlink"/>
            <w:w w:val="105"/>
          </w:rPr>
          <w:t>DC</w:t>
        </w:r>
        <w:r w:rsidRPr="001324E3">
          <w:rPr>
            <w:rStyle w:val="Hyperlink"/>
            <w:spacing w:val="-20"/>
            <w:w w:val="105"/>
          </w:rPr>
          <w:t xml:space="preserve"> </w:t>
        </w:r>
        <w:r w:rsidRPr="001324E3">
          <w:rPr>
            <w:rStyle w:val="Hyperlink"/>
            <w:w w:val="105"/>
          </w:rPr>
          <w:t>Department</w:t>
        </w:r>
        <w:r w:rsidRPr="001324E3">
          <w:rPr>
            <w:rStyle w:val="Hyperlink"/>
            <w:spacing w:val="-21"/>
            <w:w w:val="105"/>
          </w:rPr>
          <w:t xml:space="preserve"> </w:t>
        </w:r>
        <w:r w:rsidRPr="001324E3">
          <w:rPr>
            <w:rStyle w:val="Hyperlink"/>
            <w:w w:val="105"/>
          </w:rPr>
          <w:t>of</w:t>
        </w:r>
        <w:r w:rsidRPr="001324E3">
          <w:rPr>
            <w:rStyle w:val="Hyperlink"/>
            <w:spacing w:val="-20"/>
            <w:w w:val="105"/>
          </w:rPr>
          <w:t xml:space="preserve"> </w:t>
        </w:r>
        <w:r w:rsidRPr="001324E3">
          <w:rPr>
            <w:rStyle w:val="Hyperlink"/>
            <w:w w:val="105"/>
          </w:rPr>
          <w:t>Corrections</w:t>
        </w:r>
        <w:r w:rsidRPr="001324E3">
          <w:rPr>
            <w:rStyle w:val="Hyperlink"/>
            <w:spacing w:val="-20"/>
            <w:w w:val="105"/>
          </w:rPr>
          <w:t xml:space="preserve"> </w:t>
        </w:r>
        <w:r w:rsidRPr="001324E3">
          <w:rPr>
            <w:rStyle w:val="Hyperlink"/>
            <w:w w:val="105"/>
          </w:rPr>
          <w:t>(DC</w:t>
        </w:r>
        <w:r w:rsidRPr="001324E3">
          <w:rPr>
            <w:rStyle w:val="Hyperlink"/>
            <w:spacing w:val="-20"/>
            <w:w w:val="105"/>
          </w:rPr>
          <w:t xml:space="preserve"> </w:t>
        </w:r>
        <w:r w:rsidRPr="001324E3">
          <w:rPr>
            <w:rStyle w:val="Hyperlink"/>
            <w:w w:val="105"/>
          </w:rPr>
          <w:t>DOC</w:t>
        </w:r>
      </w:hyperlink>
      <w:r>
        <w:rPr>
          <w:color w:val="201F1E"/>
          <w:w w:val="105"/>
        </w:rPr>
        <w:t>)</w:t>
      </w:r>
      <w:r>
        <w:rPr>
          <w:color w:val="201F1E"/>
          <w:spacing w:val="29"/>
          <w:w w:val="105"/>
        </w:rPr>
        <w:t xml:space="preserve">. </w:t>
      </w:r>
      <w:r w:rsidR="005B03F9">
        <w:rPr>
          <w:color w:val="201F1E"/>
          <w:w w:val="105"/>
        </w:rPr>
        <w:t xml:space="preserve">There was a </w:t>
      </w:r>
      <w:r>
        <w:rPr>
          <w:color w:val="201F1E"/>
          <w:w w:val="105"/>
        </w:rPr>
        <w:t>downward</w:t>
      </w:r>
      <w:r>
        <w:rPr>
          <w:color w:val="201F1E"/>
          <w:spacing w:val="-42"/>
          <w:w w:val="105"/>
        </w:rPr>
        <w:t xml:space="preserve"> </w:t>
      </w:r>
      <w:r>
        <w:rPr>
          <w:color w:val="201F1E"/>
          <w:w w:val="105"/>
        </w:rPr>
        <w:t>trend</w:t>
      </w:r>
      <w:r w:rsidR="005B03F9">
        <w:rPr>
          <w:color w:val="201F1E"/>
          <w:spacing w:val="-41"/>
          <w:w w:val="105"/>
        </w:rPr>
        <w:t xml:space="preserve"> </w:t>
      </w:r>
      <w:r w:rsidR="005B03F9">
        <w:rPr>
          <w:color w:val="201F1E"/>
          <w:w w:val="105"/>
        </w:rPr>
        <w:t>for the</w:t>
      </w:r>
      <w:r w:rsidR="005B03F9">
        <w:rPr>
          <w:color w:val="201F1E"/>
          <w:spacing w:val="-41"/>
          <w:w w:val="105"/>
        </w:rPr>
        <w:t xml:space="preserve"> </w:t>
      </w:r>
      <w:r>
        <w:rPr>
          <w:color w:val="201F1E"/>
          <w:w w:val="105"/>
        </w:rPr>
        <w:t>population</w:t>
      </w:r>
      <w:r>
        <w:rPr>
          <w:color w:val="201F1E"/>
          <w:spacing w:val="-42"/>
          <w:w w:val="105"/>
        </w:rPr>
        <w:t xml:space="preserve"> </w:t>
      </w:r>
      <w:r>
        <w:rPr>
          <w:color w:val="201F1E"/>
          <w:w w:val="105"/>
        </w:rPr>
        <w:t xml:space="preserve">from April 2020 until </w:t>
      </w:r>
      <w:r w:rsidR="008B3041">
        <w:rPr>
          <w:color w:val="201F1E"/>
          <w:spacing w:val="-6"/>
          <w:w w:val="105"/>
        </w:rPr>
        <w:t>August 2020</w:t>
      </w:r>
      <w:r>
        <w:rPr>
          <w:color w:val="201F1E"/>
          <w:spacing w:val="-6"/>
          <w:w w:val="105"/>
        </w:rPr>
        <w:t xml:space="preserve">. </w:t>
      </w:r>
      <w:r w:rsidR="005B03F9">
        <w:rPr>
          <w:color w:val="201F1E"/>
          <w:w w:val="105"/>
        </w:rPr>
        <w:t>Data regarding fl</w:t>
      </w:r>
      <w:r>
        <w:rPr>
          <w:color w:val="201F1E"/>
          <w:w w:val="105"/>
        </w:rPr>
        <w:t xml:space="preserve">uctuations in </w:t>
      </w:r>
      <w:r w:rsidR="005B03F9">
        <w:rPr>
          <w:color w:val="201F1E"/>
          <w:w w:val="105"/>
        </w:rPr>
        <w:t xml:space="preserve">the </w:t>
      </w:r>
      <w:r>
        <w:rPr>
          <w:color w:val="201F1E"/>
          <w:w w:val="105"/>
        </w:rPr>
        <w:t xml:space="preserve">population </w:t>
      </w:r>
      <w:r w:rsidR="005B03F9">
        <w:rPr>
          <w:color w:val="201F1E"/>
          <w:w w:val="105"/>
        </w:rPr>
        <w:t>of</w:t>
      </w:r>
      <w:r>
        <w:rPr>
          <w:color w:val="201F1E"/>
          <w:w w:val="105"/>
        </w:rPr>
        <w:t xml:space="preserve"> the DOC since </w:t>
      </w:r>
      <w:r>
        <w:rPr>
          <w:color w:val="201F1E"/>
          <w:w w:val="101"/>
        </w:rPr>
        <w:t>Oc</w:t>
      </w:r>
      <w:r>
        <w:rPr>
          <w:color w:val="201F1E"/>
          <w:spacing w:val="-3"/>
          <w:w w:val="101"/>
        </w:rPr>
        <w:t>t</w:t>
      </w:r>
      <w:r>
        <w:rPr>
          <w:color w:val="201F1E"/>
          <w:spacing w:val="-1"/>
          <w:w w:val="101"/>
        </w:rPr>
        <w:t>o</w:t>
      </w:r>
      <w:r>
        <w:rPr>
          <w:color w:val="201F1E"/>
          <w:w w:val="101"/>
        </w:rPr>
        <w:t>ber</w:t>
      </w:r>
      <w:r>
        <w:rPr>
          <w:color w:val="201F1E"/>
        </w:rPr>
        <w:t xml:space="preserve"> </w:t>
      </w:r>
      <w:r>
        <w:rPr>
          <w:color w:val="201F1E"/>
          <w:spacing w:val="-1"/>
          <w:w w:val="101"/>
        </w:rPr>
        <w:t>201</w:t>
      </w:r>
      <w:r>
        <w:rPr>
          <w:color w:val="201F1E"/>
          <w:w w:val="101"/>
        </w:rPr>
        <w:t>5</w:t>
      </w:r>
      <w:r>
        <w:rPr>
          <w:color w:val="201F1E"/>
        </w:rPr>
        <w:t xml:space="preserve"> </w:t>
      </w:r>
      <w:r>
        <w:rPr>
          <w:color w:val="201F1E"/>
          <w:w w:val="101"/>
        </w:rPr>
        <w:t>a</w:t>
      </w:r>
      <w:r>
        <w:rPr>
          <w:color w:val="201F1E"/>
          <w:spacing w:val="-4"/>
          <w:w w:val="101"/>
        </w:rPr>
        <w:t>r</w:t>
      </w:r>
      <w:r>
        <w:rPr>
          <w:color w:val="201F1E"/>
          <w:w w:val="101"/>
        </w:rPr>
        <w:t>e</w:t>
      </w:r>
      <w:r>
        <w:rPr>
          <w:color w:val="201F1E"/>
        </w:rPr>
        <w:t xml:space="preserve"> </w:t>
      </w:r>
      <w:r>
        <w:rPr>
          <w:color w:val="201F1E"/>
          <w:spacing w:val="-5"/>
          <w:w w:val="101"/>
        </w:rPr>
        <w:t>av</w:t>
      </w:r>
      <w:r>
        <w:rPr>
          <w:color w:val="201F1E"/>
          <w:w w:val="101"/>
        </w:rPr>
        <w:t>ailable</w:t>
      </w:r>
      <w:r>
        <w:rPr>
          <w:color w:val="201F1E"/>
        </w:rPr>
        <w:t xml:space="preserve"> </w:t>
      </w:r>
      <w:hyperlink r:id="rId8" w:history="1">
        <w:r w:rsidRPr="001324E3">
          <w:rPr>
            <w:rStyle w:val="Hyperlink"/>
            <w:spacing w:val="-3"/>
            <w:w w:val="101"/>
          </w:rPr>
          <w:t>HERE</w:t>
        </w:r>
      </w:hyperlink>
      <w:r>
        <w:rPr>
          <w:color w:val="201F1E"/>
          <w:spacing w:val="-3"/>
          <w:w w:val="101"/>
        </w:rPr>
        <w:t xml:space="preserve">. </w:t>
      </w:r>
    </w:p>
    <w:p w:rsidR="005F0858" w:rsidRDefault="005F0858" w:rsidP="005F0858">
      <w:pPr>
        <w:pStyle w:val="BodyText"/>
        <w:spacing w:before="11"/>
      </w:pPr>
    </w:p>
    <w:p w:rsidR="00F46810" w:rsidRDefault="005F0858" w:rsidP="005F0858">
      <w:pPr>
        <w:pStyle w:val="BodyText"/>
        <w:spacing w:line="244" w:lineRule="auto"/>
        <w:ind w:right="95"/>
        <w:rPr>
          <w:color w:val="201F1E"/>
          <w:spacing w:val="-30"/>
          <w:w w:val="105"/>
        </w:rPr>
      </w:pPr>
      <w:r>
        <w:rPr>
          <w:color w:val="201F1E"/>
          <w:spacing w:val="-27"/>
          <w:w w:val="101"/>
        </w:rPr>
        <w:t>T</w:t>
      </w:r>
      <w:r>
        <w:rPr>
          <w:color w:val="201F1E"/>
          <w:w w:val="101"/>
        </w:rPr>
        <w:t>o</w:t>
      </w:r>
      <w:r>
        <w:rPr>
          <w:color w:val="201F1E"/>
        </w:rPr>
        <w:t xml:space="preserve"> </w:t>
      </w:r>
      <w:r>
        <w:rPr>
          <w:color w:val="201F1E"/>
          <w:w w:val="101"/>
        </w:rPr>
        <w:t>be</w:t>
      </w:r>
      <w:r>
        <w:rPr>
          <w:color w:val="201F1E"/>
          <w:spacing w:val="-2"/>
          <w:w w:val="101"/>
        </w:rPr>
        <w:t>tt</w:t>
      </w:r>
      <w:r>
        <w:rPr>
          <w:color w:val="201F1E"/>
          <w:w w:val="101"/>
        </w:rPr>
        <w:t>er</w:t>
      </w:r>
      <w:r>
        <w:rPr>
          <w:color w:val="201F1E"/>
        </w:rPr>
        <w:t xml:space="preserve"> </w:t>
      </w:r>
      <w:r>
        <w:rPr>
          <w:color w:val="201F1E"/>
          <w:w w:val="101"/>
        </w:rPr>
        <w:t>unde</w:t>
      </w:r>
      <w:r>
        <w:rPr>
          <w:color w:val="201F1E"/>
          <w:spacing w:val="-6"/>
          <w:w w:val="101"/>
        </w:rPr>
        <w:t>r</w:t>
      </w:r>
      <w:r>
        <w:rPr>
          <w:color w:val="201F1E"/>
          <w:spacing w:val="-4"/>
          <w:w w:val="101"/>
        </w:rPr>
        <w:t>st</w:t>
      </w:r>
      <w:r>
        <w:rPr>
          <w:color w:val="201F1E"/>
          <w:w w:val="101"/>
        </w:rPr>
        <w:t>and</w:t>
      </w:r>
      <w:r>
        <w:rPr>
          <w:color w:val="201F1E"/>
        </w:rPr>
        <w:t xml:space="preserve"> </w:t>
      </w:r>
      <w:r>
        <w:rPr>
          <w:color w:val="201F1E"/>
          <w:w w:val="101"/>
        </w:rPr>
        <w:t>the</w:t>
      </w:r>
      <w:r>
        <w:rPr>
          <w:color w:val="201F1E"/>
        </w:rPr>
        <w:t xml:space="preserve"> </w:t>
      </w:r>
      <w:r>
        <w:rPr>
          <w:color w:val="201F1E"/>
          <w:spacing w:val="-4"/>
          <w:w w:val="101"/>
        </w:rPr>
        <w:t>r</w:t>
      </w:r>
      <w:r>
        <w:rPr>
          <w:color w:val="201F1E"/>
          <w:w w:val="101"/>
        </w:rPr>
        <w:t>ece</w:t>
      </w:r>
      <w:r>
        <w:rPr>
          <w:color w:val="201F1E"/>
          <w:spacing w:val="-3"/>
          <w:w w:val="101"/>
        </w:rPr>
        <w:t>n</w:t>
      </w:r>
      <w:r>
        <w:rPr>
          <w:color w:val="201F1E"/>
          <w:w w:val="101"/>
        </w:rPr>
        <w:t>t</w:t>
      </w:r>
      <w:r>
        <w:rPr>
          <w:color w:val="201F1E"/>
        </w:rPr>
        <w:t xml:space="preserve"> </w:t>
      </w:r>
      <w:r w:rsidR="005B03F9">
        <w:rPr>
          <w:color w:val="201F1E"/>
          <w:w w:val="101"/>
        </w:rPr>
        <w:t>increase</w:t>
      </w:r>
      <w:r>
        <w:rPr>
          <w:color w:val="201F1E"/>
        </w:rPr>
        <w:t xml:space="preserve"> </w:t>
      </w:r>
      <w:r w:rsidR="005B03F9">
        <w:rPr>
          <w:color w:val="201F1E"/>
          <w:w w:val="101"/>
        </w:rPr>
        <w:t>for</w:t>
      </w:r>
      <w:r>
        <w:rPr>
          <w:color w:val="201F1E"/>
        </w:rPr>
        <w:t xml:space="preserve"> the </w:t>
      </w:r>
      <w:r>
        <w:rPr>
          <w:color w:val="201F1E"/>
          <w:spacing w:val="-1"/>
          <w:w w:val="101"/>
        </w:rPr>
        <w:t>D</w:t>
      </w:r>
      <w:r>
        <w:rPr>
          <w:color w:val="201F1E"/>
          <w:w w:val="101"/>
        </w:rPr>
        <w:t>C</w:t>
      </w:r>
      <w:r>
        <w:rPr>
          <w:color w:val="201F1E"/>
        </w:rPr>
        <w:t xml:space="preserve"> </w:t>
      </w:r>
      <w:r>
        <w:rPr>
          <w:color w:val="201F1E"/>
          <w:spacing w:val="-1"/>
          <w:w w:val="101"/>
        </w:rPr>
        <w:t>D</w:t>
      </w:r>
      <w:r>
        <w:rPr>
          <w:color w:val="201F1E"/>
          <w:w w:val="101"/>
        </w:rPr>
        <w:t>OC</w:t>
      </w:r>
      <w:r>
        <w:rPr>
          <w:color w:val="201F1E"/>
        </w:rPr>
        <w:t xml:space="preserve"> </w:t>
      </w:r>
      <w:r>
        <w:rPr>
          <w:color w:val="201F1E"/>
          <w:w w:val="101"/>
        </w:rPr>
        <w:t>p</w:t>
      </w:r>
      <w:r>
        <w:rPr>
          <w:color w:val="201F1E"/>
          <w:spacing w:val="-1"/>
          <w:w w:val="101"/>
        </w:rPr>
        <w:t>o</w:t>
      </w:r>
      <w:r>
        <w:rPr>
          <w:color w:val="201F1E"/>
          <w:w w:val="101"/>
        </w:rPr>
        <w:t>pul</w:t>
      </w:r>
      <w:r>
        <w:rPr>
          <w:color w:val="201F1E"/>
          <w:spacing w:val="-3"/>
          <w:w w:val="101"/>
        </w:rPr>
        <w:t>a</w:t>
      </w:r>
      <w:r>
        <w:rPr>
          <w:color w:val="201F1E"/>
          <w:w w:val="113"/>
        </w:rPr>
        <w:t>ti</w:t>
      </w:r>
      <w:r>
        <w:rPr>
          <w:color w:val="201F1E"/>
          <w:spacing w:val="-1"/>
          <w:w w:val="101"/>
        </w:rPr>
        <w:t>o</w:t>
      </w:r>
      <w:r>
        <w:rPr>
          <w:color w:val="201F1E"/>
          <w:w w:val="101"/>
        </w:rPr>
        <w:t>n,</w:t>
      </w:r>
      <w:r>
        <w:rPr>
          <w:color w:val="201F1E"/>
        </w:rPr>
        <w:t xml:space="preserve"> </w:t>
      </w:r>
      <w:r>
        <w:rPr>
          <w:color w:val="201F1E"/>
          <w:spacing w:val="-1"/>
          <w:w w:val="101"/>
        </w:rPr>
        <w:t xml:space="preserve">the CIC </w:t>
      </w:r>
      <w:r w:rsidR="00CC3557">
        <w:rPr>
          <w:color w:val="201F1E"/>
          <w:w w:val="105"/>
        </w:rPr>
        <w:t>contacted</w:t>
      </w:r>
      <w:r w:rsidR="00E60F25">
        <w:rPr>
          <w:color w:val="201F1E"/>
          <w:w w:val="105"/>
        </w:rPr>
        <w:t xml:space="preserve"> staff at</w:t>
      </w:r>
      <w:r>
        <w:rPr>
          <w:color w:val="201F1E"/>
          <w:spacing w:val="-24"/>
          <w:w w:val="105"/>
        </w:rPr>
        <w:t xml:space="preserve"> the DOC</w:t>
      </w:r>
      <w:r w:rsidR="00CC3557">
        <w:rPr>
          <w:color w:val="201F1E"/>
          <w:spacing w:val="-24"/>
          <w:w w:val="105"/>
        </w:rPr>
        <w:t>,</w:t>
      </w:r>
      <w:r w:rsidR="00CC3557">
        <w:rPr>
          <w:color w:val="201F1E"/>
          <w:spacing w:val="-23"/>
          <w:w w:val="105"/>
        </w:rPr>
        <w:t xml:space="preserve"> who</w:t>
      </w:r>
      <w:r>
        <w:rPr>
          <w:color w:val="201F1E"/>
          <w:spacing w:val="-24"/>
          <w:w w:val="105"/>
        </w:rPr>
        <w:t xml:space="preserve"> </w:t>
      </w:r>
      <w:r>
        <w:rPr>
          <w:color w:val="201F1E"/>
          <w:w w:val="105"/>
        </w:rPr>
        <w:t xml:space="preserve">noted </w:t>
      </w:r>
      <w:r w:rsidR="00CC3557">
        <w:rPr>
          <w:color w:val="201F1E"/>
          <w:w w:val="105"/>
        </w:rPr>
        <w:t>the following</w:t>
      </w:r>
      <w:r w:rsidR="00F46810">
        <w:rPr>
          <w:color w:val="201F1E"/>
          <w:spacing w:val="-30"/>
          <w:w w:val="105"/>
        </w:rPr>
        <w:t>:</w:t>
      </w:r>
      <w:r w:rsidR="00F46810">
        <w:rPr>
          <w:color w:val="201F1E"/>
          <w:spacing w:val="-30"/>
          <w:w w:val="105"/>
        </w:rPr>
        <w:br/>
      </w:r>
    </w:p>
    <w:p w:rsidR="005F0858" w:rsidRPr="00E60F25" w:rsidRDefault="00E60F25" w:rsidP="00E60F25">
      <w:pPr>
        <w:pStyle w:val="BodyText"/>
        <w:spacing w:line="244" w:lineRule="auto"/>
        <w:ind w:left="720" w:right="95"/>
      </w:pPr>
      <w:r w:rsidRPr="00E60F25">
        <w:rPr>
          <w:color w:val="201F1E"/>
          <w:w w:val="105"/>
        </w:rPr>
        <w:t xml:space="preserve">[There are] </w:t>
      </w:r>
      <w:r w:rsidR="005F0858" w:rsidRPr="00E60F25">
        <w:rPr>
          <w:color w:val="201F1E"/>
          <w:w w:val="105"/>
        </w:rPr>
        <w:t>more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persons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in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custody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charged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with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serious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spacing w:val="-3"/>
          <w:w w:val="105"/>
        </w:rPr>
        <w:t>felony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oﬀenses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 xml:space="preserve">who have charges </w:t>
      </w:r>
      <w:r w:rsidR="005F0858" w:rsidRPr="00E60F25">
        <w:rPr>
          <w:color w:val="201F1E"/>
          <w:spacing w:val="-2"/>
          <w:w w:val="105"/>
        </w:rPr>
        <w:t xml:space="preserve">yet </w:t>
      </w:r>
      <w:r w:rsidR="005F0858" w:rsidRPr="00E60F25">
        <w:rPr>
          <w:color w:val="201F1E"/>
          <w:w w:val="105"/>
        </w:rPr>
        <w:t>to be adjudicated (Pretrial Felon). The population with the misdemeanors</w:t>
      </w:r>
      <w:r w:rsidR="0080609F" w:rsidRPr="00E60F25">
        <w:rPr>
          <w:color w:val="201F1E"/>
          <w:w w:val="105"/>
        </w:rPr>
        <w:t>,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which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have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spacing w:val="-2"/>
          <w:w w:val="105"/>
        </w:rPr>
        <w:t>yet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to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be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adjudicated</w:t>
      </w:r>
      <w:r w:rsidR="00DA6AC6" w:rsidRPr="00E60F25">
        <w:rPr>
          <w:color w:val="201F1E"/>
          <w:w w:val="105"/>
        </w:rPr>
        <w:t>,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is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>predominantly</w:t>
      </w:r>
      <w:r w:rsidR="005F0858" w:rsidRPr="00E60F25">
        <w:rPr>
          <w:color w:val="201F1E"/>
          <w:spacing w:val="-30"/>
          <w:w w:val="105"/>
        </w:rPr>
        <w:t xml:space="preserve"> </w:t>
      </w:r>
      <w:r w:rsidR="005F0858" w:rsidRPr="00E60F25">
        <w:rPr>
          <w:color w:val="201F1E"/>
          <w:w w:val="105"/>
        </w:rPr>
        <w:t>those</w:t>
      </w:r>
      <w:r w:rsidR="005F0858" w:rsidRPr="00E60F25">
        <w:rPr>
          <w:color w:val="201F1E"/>
          <w:spacing w:val="-31"/>
          <w:w w:val="105"/>
        </w:rPr>
        <w:t xml:space="preserve"> </w:t>
      </w:r>
      <w:r w:rsidR="005F0858" w:rsidRPr="00E60F25">
        <w:rPr>
          <w:color w:val="201F1E"/>
          <w:w w:val="105"/>
        </w:rPr>
        <w:t xml:space="preserve">who were charged with </w:t>
      </w:r>
      <w:r w:rsidR="005F0858" w:rsidRPr="00E60F25">
        <w:rPr>
          <w:color w:val="201F1E"/>
          <w:spacing w:val="-3"/>
          <w:w w:val="105"/>
        </w:rPr>
        <w:t xml:space="preserve">felony </w:t>
      </w:r>
      <w:r w:rsidR="005F0858" w:rsidRPr="00E60F25">
        <w:rPr>
          <w:color w:val="201F1E"/>
          <w:w w:val="105"/>
        </w:rPr>
        <w:t>oﬀenses and then the charge seriousness was modiﬁed</w:t>
      </w:r>
      <w:r w:rsidR="005F0858" w:rsidRPr="00E60F25">
        <w:rPr>
          <w:color w:val="201F1E"/>
          <w:spacing w:val="-40"/>
          <w:w w:val="105"/>
        </w:rPr>
        <w:t xml:space="preserve"> </w:t>
      </w:r>
      <w:r w:rsidR="005F0858" w:rsidRPr="00E60F25">
        <w:rPr>
          <w:color w:val="201F1E"/>
          <w:w w:val="105"/>
        </w:rPr>
        <w:t>to</w:t>
      </w:r>
      <w:r w:rsidR="005F0858" w:rsidRPr="00E60F25">
        <w:rPr>
          <w:color w:val="201F1E"/>
          <w:spacing w:val="-39"/>
          <w:w w:val="105"/>
        </w:rPr>
        <w:t xml:space="preserve"> </w:t>
      </w:r>
      <w:r w:rsidR="005F0858" w:rsidRPr="00E60F25">
        <w:rPr>
          <w:color w:val="201F1E"/>
          <w:w w:val="105"/>
        </w:rPr>
        <w:t>reﬂect</w:t>
      </w:r>
      <w:r w:rsidR="005F0858" w:rsidRPr="00E60F25">
        <w:rPr>
          <w:color w:val="201F1E"/>
          <w:spacing w:val="-40"/>
          <w:w w:val="105"/>
        </w:rPr>
        <w:t xml:space="preserve"> </w:t>
      </w:r>
      <w:r w:rsidR="005F0858" w:rsidRPr="00E60F25">
        <w:rPr>
          <w:color w:val="201F1E"/>
          <w:w w:val="105"/>
        </w:rPr>
        <w:t>misdemeanors</w:t>
      </w:r>
      <w:r w:rsidR="005F0858" w:rsidRPr="00E60F25">
        <w:rPr>
          <w:color w:val="201F1E"/>
          <w:spacing w:val="-39"/>
          <w:w w:val="105"/>
        </w:rPr>
        <w:t xml:space="preserve"> </w:t>
      </w:r>
      <w:r w:rsidR="005F0858" w:rsidRPr="00E60F25">
        <w:rPr>
          <w:color w:val="201F1E"/>
          <w:w w:val="105"/>
        </w:rPr>
        <w:t>(Pretrial</w:t>
      </w:r>
      <w:r w:rsidR="005F0858" w:rsidRPr="00E60F25">
        <w:rPr>
          <w:color w:val="201F1E"/>
          <w:spacing w:val="-40"/>
          <w:w w:val="105"/>
        </w:rPr>
        <w:t xml:space="preserve"> </w:t>
      </w:r>
      <w:r w:rsidR="005F0858" w:rsidRPr="00E60F25">
        <w:rPr>
          <w:color w:val="201F1E"/>
          <w:w w:val="105"/>
        </w:rPr>
        <w:t>Misdemeanant).</w:t>
      </w:r>
      <w:r w:rsidR="005F0858" w:rsidRPr="00E60F25">
        <w:rPr>
          <w:color w:val="201F1E"/>
          <w:spacing w:val="-39"/>
          <w:w w:val="105"/>
        </w:rPr>
        <w:t xml:space="preserve"> </w:t>
      </w:r>
      <w:r w:rsidR="005F0858" w:rsidRPr="00E60F25">
        <w:rPr>
          <w:color w:val="201F1E"/>
          <w:spacing w:val="-6"/>
          <w:w w:val="105"/>
        </w:rPr>
        <w:t>We</w:t>
      </w:r>
      <w:r w:rsidR="005F0858" w:rsidRPr="00E60F25">
        <w:rPr>
          <w:color w:val="201F1E"/>
          <w:spacing w:val="-39"/>
          <w:w w:val="105"/>
        </w:rPr>
        <w:t xml:space="preserve"> </w:t>
      </w:r>
      <w:r w:rsidR="005F0858" w:rsidRPr="00E60F25">
        <w:rPr>
          <w:color w:val="201F1E"/>
          <w:w w:val="105"/>
        </w:rPr>
        <w:t>have</w:t>
      </w:r>
      <w:r w:rsidR="005F0858" w:rsidRPr="00E60F25">
        <w:rPr>
          <w:color w:val="201F1E"/>
          <w:spacing w:val="-40"/>
          <w:w w:val="105"/>
        </w:rPr>
        <w:t xml:space="preserve"> </w:t>
      </w:r>
      <w:r w:rsidR="005F0858" w:rsidRPr="00E60F25">
        <w:rPr>
          <w:color w:val="201F1E"/>
          <w:w w:val="105"/>
        </w:rPr>
        <w:t>very</w:t>
      </w:r>
      <w:r w:rsidR="005F0858" w:rsidRPr="00E60F25">
        <w:rPr>
          <w:color w:val="201F1E"/>
          <w:spacing w:val="-39"/>
          <w:w w:val="105"/>
        </w:rPr>
        <w:t xml:space="preserve"> </w:t>
      </w:r>
      <w:r w:rsidR="005F0858" w:rsidRPr="00E60F25">
        <w:rPr>
          <w:color w:val="201F1E"/>
          <w:spacing w:val="-4"/>
          <w:w w:val="105"/>
        </w:rPr>
        <w:t xml:space="preserve">few </w:t>
      </w:r>
      <w:r w:rsidR="005F0858" w:rsidRPr="00E60F25">
        <w:rPr>
          <w:color w:val="201F1E"/>
          <w:w w:val="105"/>
        </w:rPr>
        <w:t xml:space="preserve">sentenced misdemeanants and sentenced felons in </w:t>
      </w:r>
      <w:r w:rsidR="005F0858" w:rsidRPr="00E60F25">
        <w:rPr>
          <w:color w:val="201F1E"/>
          <w:spacing w:val="-4"/>
          <w:w w:val="105"/>
        </w:rPr>
        <w:t xml:space="preserve">custody. </w:t>
      </w:r>
      <w:r w:rsidR="005F0858" w:rsidRPr="00E60F25">
        <w:rPr>
          <w:color w:val="201F1E"/>
          <w:w w:val="105"/>
        </w:rPr>
        <w:t xml:space="preserve">Similarly our (strictly) </w:t>
      </w:r>
      <w:r w:rsidR="005F0858" w:rsidRPr="00E60F25">
        <w:rPr>
          <w:color w:val="201F1E"/>
          <w:spacing w:val="-3"/>
          <w:w w:val="105"/>
        </w:rPr>
        <w:t xml:space="preserve">Parole </w:t>
      </w:r>
      <w:r w:rsidR="005F0858" w:rsidRPr="00E60F25">
        <w:rPr>
          <w:color w:val="201F1E"/>
          <w:w w:val="105"/>
        </w:rPr>
        <w:t>Violator population</w:t>
      </w:r>
      <w:r w:rsidR="00DA6AC6" w:rsidRPr="00E60F25">
        <w:rPr>
          <w:color w:val="201F1E"/>
          <w:w w:val="105"/>
        </w:rPr>
        <w:t xml:space="preserve"> is hovering slightly below 100. W</w:t>
      </w:r>
      <w:r w:rsidR="00596CF1" w:rsidRPr="00E60F25">
        <w:rPr>
          <w:color w:val="201F1E"/>
          <w:w w:val="105"/>
        </w:rPr>
        <w:t xml:space="preserve">e also count </w:t>
      </w:r>
      <w:r w:rsidR="005F0858" w:rsidRPr="00E60F25">
        <w:rPr>
          <w:color w:val="201F1E"/>
          <w:w w:val="105"/>
        </w:rPr>
        <w:t>some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spacing w:val="-3"/>
          <w:w w:val="105"/>
        </w:rPr>
        <w:t>federal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program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failures</w:t>
      </w:r>
      <w:r w:rsidR="005F0858" w:rsidRPr="00E60F25">
        <w:rPr>
          <w:color w:val="201F1E"/>
          <w:spacing w:val="-25"/>
          <w:w w:val="105"/>
        </w:rPr>
        <w:t xml:space="preserve"> </w:t>
      </w:r>
      <w:r w:rsidR="005F0858" w:rsidRPr="00E60F25">
        <w:rPr>
          <w:color w:val="201F1E"/>
          <w:w w:val="105"/>
        </w:rPr>
        <w:t>in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this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category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spacing w:val="-3"/>
          <w:w w:val="105"/>
        </w:rPr>
        <w:t>for</w:t>
      </w:r>
      <w:r w:rsidR="005F0858" w:rsidRPr="00E60F25">
        <w:rPr>
          <w:color w:val="201F1E"/>
          <w:spacing w:val="-25"/>
          <w:w w:val="105"/>
        </w:rPr>
        <w:t xml:space="preserve"> </w:t>
      </w:r>
      <w:r w:rsidR="005F0858" w:rsidRPr="00E60F25">
        <w:rPr>
          <w:color w:val="201F1E"/>
          <w:w w:val="105"/>
        </w:rPr>
        <w:t>public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reporting</w:t>
      </w:r>
      <w:r w:rsidR="00596CF1" w:rsidRPr="00E60F25">
        <w:rPr>
          <w:color w:val="201F1E"/>
          <w:w w:val="105"/>
        </w:rPr>
        <w:t>,</w:t>
      </w:r>
      <w:r w:rsidR="005F0858" w:rsidRPr="00E60F25">
        <w:rPr>
          <w:color w:val="201F1E"/>
          <w:spacing w:val="-24"/>
          <w:w w:val="105"/>
        </w:rPr>
        <w:t xml:space="preserve"> </w:t>
      </w:r>
      <w:r w:rsidR="005F0858" w:rsidRPr="00E60F25">
        <w:rPr>
          <w:color w:val="201F1E"/>
          <w:w w:val="105"/>
        </w:rPr>
        <w:t>but those</w:t>
      </w:r>
      <w:r w:rsidR="005F0858" w:rsidRPr="00E60F25">
        <w:rPr>
          <w:color w:val="201F1E"/>
          <w:spacing w:val="-28"/>
          <w:w w:val="105"/>
        </w:rPr>
        <w:t xml:space="preserve"> </w:t>
      </w:r>
      <w:r w:rsidR="005F0858" w:rsidRPr="00E60F25">
        <w:rPr>
          <w:color w:val="201F1E"/>
          <w:w w:val="105"/>
        </w:rPr>
        <w:t>too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are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spacing w:val="-4"/>
          <w:w w:val="105"/>
        </w:rPr>
        <w:t>few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(less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than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15).</w:t>
      </w:r>
      <w:r w:rsidR="00596CF1" w:rsidRPr="00E60F25">
        <w:rPr>
          <w:color w:val="201F1E"/>
          <w:w w:val="105"/>
        </w:rPr>
        <w:t xml:space="preserve"> 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So</w:t>
      </w:r>
      <w:r w:rsidR="00DA6AC6" w:rsidRPr="00E60F25">
        <w:rPr>
          <w:color w:val="201F1E"/>
          <w:w w:val="105"/>
        </w:rPr>
        <w:t>,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although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the</w:t>
      </w:r>
      <w:r w:rsidR="005F0858" w:rsidRPr="00E60F25">
        <w:rPr>
          <w:color w:val="201F1E"/>
          <w:spacing w:val="-28"/>
          <w:w w:val="105"/>
        </w:rPr>
        <w:t xml:space="preserve"> </w:t>
      </w:r>
      <w:r w:rsidR="005F0858" w:rsidRPr="00E60F25">
        <w:rPr>
          <w:color w:val="201F1E"/>
          <w:w w:val="105"/>
        </w:rPr>
        <w:t>numbers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are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similar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w w:val="105"/>
        </w:rPr>
        <w:t>to</w:t>
      </w:r>
      <w:r w:rsidR="005F0858" w:rsidRPr="00E60F25">
        <w:rPr>
          <w:color w:val="201F1E"/>
          <w:spacing w:val="-27"/>
          <w:w w:val="105"/>
        </w:rPr>
        <w:t xml:space="preserve"> </w:t>
      </w:r>
      <w:r w:rsidR="005F0858" w:rsidRPr="00E60F25">
        <w:rPr>
          <w:color w:val="201F1E"/>
          <w:spacing w:val="-3"/>
          <w:w w:val="105"/>
        </w:rPr>
        <w:t>April’s</w:t>
      </w:r>
      <w:r w:rsidRPr="00E60F25">
        <w:rPr>
          <w:color w:val="201F1E"/>
          <w:spacing w:val="-3"/>
          <w:w w:val="105"/>
        </w:rPr>
        <w:t>,</w:t>
      </w:r>
      <w:r w:rsidR="005F0858" w:rsidRPr="00E60F25">
        <w:rPr>
          <w:color w:val="201F1E"/>
          <w:spacing w:val="-3"/>
          <w:w w:val="105"/>
        </w:rPr>
        <w:t xml:space="preserve"> </w:t>
      </w:r>
      <w:r w:rsidR="005F0858" w:rsidRPr="00E60F25">
        <w:rPr>
          <w:color w:val="201F1E"/>
          <w:w w:val="105"/>
        </w:rPr>
        <w:t>the population composition is</w:t>
      </w:r>
      <w:r w:rsidR="005F0858" w:rsidRPr="00E60F25">
        <w:rPr>
          <w:color w:val="201F1E"/>
          <w:spacing w:val="-22"/>
          <w:w w:val="105"/>
        </w:rPr>
        <w:t xml:space="preserve"> </w:t>
      </w:r>
      <w:r w:rsidRPr="00E60F25">
        <w:rPr>
          <w:color w:val="201F1E"/>
          <w:spacing w:val="-4"/>
          <w:w w:val="105"/>
        </w:rPr>
        <w:t>diﬀerent.</w:t>
      </w:r>
    </w:p>
    <w:p w:rsidR="00E60F25" w:rsidRPr="00E60F25" w:rsidRDefault="00E60F25" w:rsidP="00E60F25">
      <w:pPr>
        <w:pStyle w:val="BodyText"/>
        <w:spacing w:before="1" w:line="244" w:lineRule="auto"/>
        <w:ind w:left="720" w:right="196"/>
        <w:rPr>
          <w:color w:val="201F1E"/>
        </w:rPr>
      </w:pPr>
    </w:p>
    <w:p w:rsidR="00F46810" w:rsidRPr="00E60F25" w:rsidRDefault="005F0858" w:rsidP="00E60F25">
      <w:pPr>
        <w:pStyle w:val="BodyText"/>
        <w:spacing w:before="1" w:line="244" w:lineRule="auto"/>
        <w:ind w:left="720" w:right="196"/>
      </w:pPr>
      <w:r w:rsidRPr="00E60F25">
        <w:rPr>
          <w:color w:val="201F1E"/>
        </w:rPr>
        <w:t xml:space="preserve">…because people in custody are charged with serious oﬀenses and sometimes multiple serious oﬀenses, these often have longer legal processes because of the serious consequences </w:t>
      </w:r>
      <w:r w:rsidRPr="00E60F25">
        <w:rPr>
          <w:color w:val="201F1E"/>
          <w:spacing w:val="-3"/>
        </w:rPr>
        <w:t xml:space="preserve">for </w:t>
      </w:r>
      <w:r w:rsidRPr="00E60F25">
        <w:rPr>
          <w:color w:val="201F1E"/>
        </w:rPr>
        <w:t xml:space="preserve">the individual that are at </w:t>
      </w:r>
      <w:r w:rsidRPr="00E60F25">
        <w:rPr>
          <w:color w:val="201F1E"/>
          <w:spacing w:val="-3"/>
        </w:rPr>
        <w:t xml:space="preserve">stake. </w:t>
      </w:r>
      <w:r w:rsidRPr="00E60F25">
        <w:rPr>
          <w:color w:val="201F1E"/>
        </w:rPr>
        <w:t xml:space="preserve">So, even if </w:t>
      </w:r>
      <w:r w:rsidRPr="00E60F25">
        <w:rPr>
          <w:color w:val="201F1E"/>
          <w:spacing w:val="-3"/>
        </w:rPr>
        <w:t xml:space="preserve">intake rates </w:t>
      </w:r>
      <w:r w:rsidRPr="00E60F25">
        <w:rPr>
          <w:color w:val="201F1E"/>
        </w:rPr>
        <w:t xml:space="preserve">are moderate or </w:t>
      </w:r>
      <w:r w:rsidRPr="00E60F25">
        <w:rPr>
          <w:color w:val="201F1E"/>
          <w:spacing w:val="-6"/>
        </w:rPr>
        <w:t xml:space="preserve">slow, </w:t>
      </w:r>
      <w:r w:rsidRPr="00E60F25">
        <w:rPr>
          <w:color w:val="201F1E"/>
          <w:spacing w:val="-3"/>
        </w:rPr>
        <w:t xml:space="preserve">average </w:t>
      </w:r>
      <w:r w:rsidRPr="00E60F25">
        <w:rPr>
          <w:color w:val="201F1E"/>
        </w:rPr>
        <w:t xml:space="preserve">lengths of </w:t>
      </w:r>
      <w:r w:rsidRPr="00E60F25">
        <w:rPr>
          <w:color w:val="201F1E"/>
          <w:spacing w:val="-4"/>
        </w:rPr>
        <w:t xml:space="preserve">stay </w:t>
      </w:r>
      <w:r w:rsidRPr="00E60F25">
        <w:rPr>
          <w:color w:val="201F1E"/>
        </w:rPr>
        <w:t xml:space="preserve">are longer in these conditions; </w:t>
      </w:r>
      <w:r w:rsidRPr="00E60F25">
        <w:rPr>
          <w:color w:val="201F1E"/>
          <w:spacing w:val="-3"/>
        </w:rPr>
        <w:t xml:space="preserve">consequently, </w:t>
      </w:r>
      <w:r w:rsidRPr="00E60F25">
        <w:rPr>
          <w:color w:val="201F1E"/>
        </w:rPr>
        <w:t xml:space="preserve">release </w:t>
      </w:r>
      <w:r w:rsidRPr="00E60F25">
        <w:rPr>
          <w:color w:val="201F1E"/>
          <w:spacing w:val="-3"/>
        </w:rPr>
        <w:t xml:space="preserve">rates </w:t>
      </w:r>
      <w:r w:rsidRPr="00E60F25">
        <w:rPr>
          <w:color w:val="201F1E"/>
        </w:rPr>
        <w:t>remain</w:t>
      </w:r>
      <w:r w:rsidRPr="00E60F25">
        <w:rPr>
          <w:color w:val="201F1E"/>
          <w:spacing w:val="19"/>
        </w:rPr>
        <w:t xml:space="preserve"> </w:t>
      </w:r>
      <w:r w:rsidR="00E60F25" w:rsidRPr="00E60F25">
        <w:rPr>
          <w:color w:val="201F1E"/>
          <w:spacing w:val="-9"/>
        </w:rPr>
        <w:t>low.</w:t>
      </w:r>
      <w:r w:rsidR="00F46810" w:rsidRPr="00E60F25">
        <w:rPr>
          <w:color w:val="201F1E"/>
          <w:spacing w:val="-9"/>
        </w:rPr>
        <w:br/>
      </w:r>
    </w:p>
    <w:p w:rsidR="00F46810" w:rsidRPr="00F46810" w:rsidRDefault="00F46810" w:rsidP="00F46810">
      <w:pPr>
        <w:pStyle w:val="xmso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According to the DOC’s September 1, 2020 COVID-19 update, </w:t>
      </w:r>
      <w:r w:rsidRPr="00F46810">
        <w:rPr>
          <w:rFonts w:asciiTheme="minorHAnsi" w:hAnsiTheme="minorHAnsi" w:cstheme="minorHAnsi"/>
        </w:rPr>
        <w:t>there are 926 residents at the District of Columbia Department of Corrections’ (DOC) Central Detention Facility, 447 residents at DOC’s Correctional Treatment Facility, 1 resident at a local hospital, and 1 resident at a halfway house. Currently, there are no positive COVID-19 cases at DOC’s correctional facilities.</w:t>
      </w:r>
    </w:p>
    <w:p w:rsidR="00F46810" w:rsidRDefault="00F46810" w:rsidP="00F46810">
      <w:pPr>
        <w:pStyle w:val="xmsonormal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 </w:t>
      </w:r>
    </w:p>
    <w:p w:rsidR="005F0858" w:rsidRPr="00F46810" w:rsidRDefault="005F0858" w:rsidP="00F46810">
      <w:pPr>
        <w:pStyle w:val="BodyText"/>
        <w:spacing w:before="1" w:line="244" w:lineRule="auto"/>
        <w:ind w:right="196"/>
        <w:rPr>
          <w:color w:val="201F1E"/>
          <w:spacing w:val="-9"/>
        </w:rPr>
      </w:pPr>
      <w:r>
        <w:rPr>
          <w:color w:val="201F1E"/>
          <w:w w:val="105"/>
        </w:rPr>
        <w:t xml:space="preserve">The CIC thanks the DOC for </w:t>
      </w:r>
      <w:r>
        <w:rPr>
          <w:color w:val="201F1E"/>
          <w:w w:val="101"/>
        </w:rPr>
        <w:t>providing</w:t>
      </w:r>
      <w:r>
        <w:rPr>
          <w:color w:val="201F1E"/>
        </w:rPr>
        <w:t xml:space="preserve"> the </w:t>
      </w:r>
      <w:r>
        <w:rPr>
          <w:color w:val="201F1E"/>
          <w:w w:val="101"/>
        </w:rPr>
        <w:t>data</w:t>
      </w:r>
      <w:r>
        <w:rPr>
          <w:color w:val="201F1E"/>
        </w:rPr>
        <w:t xml:space="preserve"> </w:t>
      </w:r>
      <w:r>
        <w:rPr>
          <w:color w:val="201F1E"/>
          <w:w w:val="101"/>
        </w:rPr>
        <w:t xml:space="preserve">and analysis regarding the current population of DC adults in custody. </w:t>
      </w:r>
    </w:p>
    <w:p w:rsidR="005F0858" w:rsidRPr="00AD572E" w:rsidRDefault="005F0858" w:rsidP="00AD572E"/>
    <w:sectPr w:rsidR="005F0858" w:rsidRPr="00AD572E" w:rsidSect="006021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9B" w:rsidRDefault="003E649B" w:rsidP="00BA4201">
      <w:pPr>
        <w:spacing w:after="0" w:line="240" w:lineRule="auto"/>
      </w:pPr>
      <w:r>
        <w:separator/>
      </w:r>
    </w:p>
  </w:endnote>
  <w:endnote w:type="continuationSeparator" w:id="0">
    <w:p w:rsidR="003E649B" w:rsidRDefault="003E649B" w:rsidP="00BA4201">
      <w:pPr>
        <w:spacing w:after="0" w:line="240" w:lineRule="auto"/>
      </w:pPr>
      <w:r>
        <w:continuationSeparator/>
      </w:r>
    </w:p>
  </w:endnote>
  <w:endnote w:type="continuationNotice" w:id="1">
    <w:p w:rsidR="003E649B" w:rsidRDefault="003E6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B" w:rsidRPr="009543D2" w:rsidRDefault="00BF196B" w:rsidP="00BF196B">
    <w:pPr>
      <w:pStyle w:val="Footer"/>
      <w:pBdr>
        <w:bottom w:val="single" w:sz="6" w:space="1" w:color="auto"/>
      </w:pBdr>
      <w:jc w:val="center"/>
      <w:rPr>
        <w:sz w:val="20"/>
      </w:rPr>
    </w:pPr>
  </w:p>
  <w:p w:rsidR="00BA4201" w:rsidRPr="00BF196B" w:rsidRDefault="00BF196B" w:rsidP="00BF196B">
    <w:pPr>
      <w:pStyle w:val="Footer"/>
      <w:jc w:val="center"/>
      <w:rPr>
        <w:sz w:val="20"/>
      </w:rPr>
    </w:pPr>
    <w:r w:rsidRPr="009543D2">
      <w:rPr>
        <w:sz w:val="20"/>
      </w:rPr>
      <w:t>1400 I Street NW, Suite 400, Washington, DC 20005 | 202.478.9211 | dc.cic@dc.gov | www.cic.dc.gov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34" w:rsidRPr="009543D2" w:rsidRDefault="00602134" w:rsidP="00602134">
    <w:pPr>
      <w:pStyle w:val="Footer"/>
      <w:pBdr>
        <w:bottom w:val="single" w:sz="6" w:space="1" w:color="auto"/>
      </w:pBdr>
      <w:jc w:val="center"/>
      <w:rPr>
        <w:sz w:val="20"/>
      </w:rPr>
    </w:pPr>
  </w:p>
  <w:p w:rsidR="007F5CC2" w:rsidRPr="00602134" w:rsidRDefault="00602134" w:rsidP="00602134">
    <w:pPr>
      <w:pStyle w:val="Footer"/>
      <w:jc w:val="center"/>
      <w:rPr>
        <w:sz w:val="20"/>
      </w:rPr>
    </w:pPr>
    <w:r w:rsidRPr="009543D2">
      <w:rPr>
        <w:sz w:val="20"/>
      </w:rPr>
      <w:t>1400 I Street NW, Suite 400, Washington, DC 20005 | 202.478.9211 | dc.cic@dc.gov | www.cic.dc.gov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9B" w:rsidRDefault="003E649B" w:rsidP="00BA4201">
      <w:pPr>
        <w:spacing w:after="0" w:line="240" w:lineRule="auto"/>
      </w:pPr>
      <w:r>
        <w:separator/>
      </w:r>
    </w:p>
  </w:footnote>
  <w:footnote w:type="continuationSeparator" w:id="0">
    <w:p w:rsidR="003E649B" w:rsidRDefault="003E649B" w:rsidP="00BA4201">
      <w:pPr>
        <w:spacing w:after="0" w:line="240" w:lineRule="auto"/>
      </w:pPr>
      <w:r>
        <w:continuationSeparator/>
      </w:r>
    </w:p>
  </w:footnote>
  <w:footnote w:type="continuationNotice" w:id="1">
    <w:p w:rsidR="003E649B" w:rsidRDefault="003E6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33111119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92CF2" w:rsidRPr="00592CF2" w:rsidRDefault="00592CF2" w:rsidP="00592C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6B" w:rsidRPr="00BF196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34" w:rsidRDefault="00602134" w:rsidP="00602134">
    <w:pPr>
      <w:pStyle w:val="Header"/>
      <w:tabs>
        <w:tab w:val="left" w:pos="3225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B4A71" wp14:editId="6733A651">
          <wp:simplePos x="0" y="0"/>
          <wp:positionH relativeFrom="column">
            <wp:posOffset>-95250</wp:posOffset>
          </wp:positionH>
          <wp:positionV relativeFrom="paragraph">
            <wp:posOffset>-57150</wp:posOffset>
          </wp:positionV>
          <wp:extent cx="1095375" cy="1087755"/>
          <wp:effectExtent l="0" t="0" r="9525" b="0"/>
          <wp:wrapNone/>
          <wp:docPr id="5" name="Picture 5" descr="C:\Users\tiffany.culley\Documents\Logo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culley\Documents\Logo\logo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134" w:rsidRDefault="00602134" w:rsidP="00602134">
    <w:pPr>
      <w:pStyle w:val="Header"/>
      <w:tabs>
        <w:tab w:val="left" w:pos="735"/>
        <w:tab w:val="left" w:pos="3225"/>
      </w:tabs>
      <w:rPr>
        <w:b/>
      </w:rPr>
    </w:pPr>
    <w:r>
      <w:rPr>
        <w:b/>
      </w:rPr>
      <w:tab/>
    </w:r>
    <w:r>
      <w:rPr>
        <w:b/>
      </w:rPr>
      <w:tab/>
    </w:r>
  </w:p>
  <w:p w:rsidR="00602134" w:rsidRPr="00D849D1" w:rsidRDefault="00602134" w:rsidP="00602134">
    <w:pPr>
      <w:pStyle w:val="Header"/>
      <w:tabs>
        <w:tab w:val="left" w:pos="3225"/>
      </w:tabs>
      <w:jc w:val="center"/>
      <w:rPr>
        <w:b/>
        <w:sz w:val="32"/>
        <w:szCs w:val="32"/>
      </w:rPr>
    </w:pPr>
    <w:proofErr w:type="gramStart"/>
    <w:r w:rsidRPr="00D849D1">
      <w:rPr>
        <w:b/>
        <w:sz w:val="32"/>
        <w:szCs w:val="32"/>
      </w:rPr>
      <w:t>CIC  |</w:t>
    </w:r>
    <w:proofErr w:type="gramEnd"/>
    <w:r w:rsidRPr="00D849D1">
      <w:rPr>
        <w:b/>
        <w:sz w:val="32"/>
        <w:szCs w:val="32"/>
      </w:rPr>
      <w:t xml:space="preserve">  DC Corrections Information Council</w:t>
    </w:r>
  </w:p>
  <w:p w:rsidR="00602134" w:rsidRDefault="00602134" w:rsidP="00602134">
    <w:pPr>
      <w:pStyle w:val="Header"/>
      <w:jc w:val="center"/>
    </w:pPr>
  </w:p>
  <w:p w:rsidR="00602134" w:rsidRDefault="00602134" w:rsidP="00602134">
    <w:pPr>
      <w:pStyle w:val="Header"/>
    </w:pPr>
  </w:p>
  <w:p w:rsidR="00BD2AF9" w:rsidRPr="00602134" w:rsidRDefault="00BD2AF9" w:rsidP="00602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8"/>
    <w:rsid w:val="0000401D"/>
    <w:rsid w:val="00024652"/>
    <w:rsid w:val="00034BE6"/>
    <w:rsid w:val="0004590A"/>
    <w:rsid w:val="00047B15"/>
    <w:rsid w:val="00056387"/>
    <w:rsid w:val="0006249E"/>
    <w:rsid w:val="00074127"/>
    <w:rsid w:val="00074F8D"/>
    <w:rsid w:val="00092119"/>
    <w:rsid w:val="000A381A"/>
    <w:rsid w:val="000A60E8"/>
    <w:rsid w:val="000B21AE"/>
    <w:rsid w:val="000D1456"/>
    <w:rsid w:val="000D6819"/>
    <w:rsid w:val="0010189C"/>
    <w:rsid w:val="00146B92"/>
    <w:rsid w:val="00151635"/>
    <w:rsid w:val="001721B3"/>
    <w:rsid w:val="001C1B11"/>
    <w:rsid w:val="00222F3C"/>
    <w:rsid w:val="002420EE"/>
    <w:rsid w:val="002B3E5D"/>
    <w:rsid w:val="002D23D2"/>
    <w:rsid w:val="002E0DD0"/>
    <w:rsid w:val="002E5AF2"/>
    <w:rsid w:val="0030639E"/>
    <w:rsid w:val="00312D78"/>
    <w:rsid w:val="00342F36"/>
    <w:rsid w:val="00344761"/>
    <w:rsid w:val="003A46B9"/>
    <w:rsid w:val="003A68BB"/>
    <w:rsid w:val="003A7738"/>
    <w:rsid w:val="003A7954"/>
    <w:rsid w:val="003E2A15"/>
    <w:rsid w:val="003E3124"/>
    <w:rsid w:val="003E4B2B"/>
    <w:rsid w:val="003E649B"/>
    <w:rsid w:val="00427C5F"/>
    <w:rsid w:val="00437E6D"/>
    <w:rsid w:val="004830B0"/>
    <w:rsid w:val="004C20CF"/>
    <w:rsid w:val="004D4D62"/>
    <w:rsid w:val="004E3495"/>
    <w:rsid w:val="00503CBF"/>
    <w:rsid w:val="00517CC1"/>
    <w:rsid w:val="00536197"/>
    <w:rsid w:val="00543412"/>
    <w:rsid w:val="00543F9C"/>
    <w:rsid w:val="00554B7A"/>
    <w:rsid w:val="00583576"/>
    <w:rsid w:val="00584EED"/>
    <w:rsid w:val="00592CF2"/>
    <w:rsid w:val="00596CF1"/>
    <w:rsid w:val="005B03F9"/>
    <w:rsid w:val="005E0CFD"/>
    <w:rsid w:val="005E2126"/>
    <w:rsid w:val="005F0858"/>
    <w:rsid w:val="00602134"/>
    <w:rsid w:val="00616C7E"/>
    <w:rsid w:val="00616D49"/>
    <w:rsid w:val="00644B19"/>
    <w:rsid w:val="00667F29"/>
    <w:rsid w:val="00680687"/>
    <w:rsid w:val="006C5C2F"/>
    <w:rsid w:val="006E0D67"/>
    <w:rsid w:val="006E43F8"/>
    <w:rsid w:val="007562FD"/>
    <w:rsid w:val="00771CF7"/>
    <w:rsid w:val="007803BE"/>
    <w:rsid w:val="0079556E"/>
    <w:rsid w:val="007D7CB1"/>
    <w:rsid w:val="007E45B2"/>
    <w:rsid w:val="007F5CC2"/>
    <w:rsid w:val="00802A73"/>
    <w:rsid w:val="0080609F"/>
    <w:rsid w:val="008137E5"/>
    <w:rsid w:val="00840C18"/>
    <w:rsid w:val="008B3041"/>
    <w:rsid w:val="008B4771"/>
    <w:rsid w:val="008B5A70"/>
    <w:rsid w:val="008C1090"/>
    <w:rsid w:val="008E1A6F"/>
    <w:rsid w:val="008E5534"/>
    <w:rsid w:val="009634BD"/>
    <w:rsid w:val="00972B65"/>
    <w:rsid w:val="0099246F"/>
    <w:rsid w:val="009A1E2B"/>
    <w:rsid w:val="009B3AB7"/>
    <w:rsid w:val="009C5159"/>
    <w:rsid w:val="009E414B"/>
    <w:rsid w:val="009E4257"/>
    <w:rsid w:val="00A37104"/>
    <w:rsid w:val="00A80127"/>
    <w:rsid w:val="00A96A4D"/>
    <w:rsid w:val="00AC0A75"/>
    <w:rsid w:val="00AD487B"/>
    <w:rsid w:val="00AD572E"/>
    <w:rsid w:val="00AD6360"/>
    <w:rsid w:val="00B4339B"/>
    <w:rsid w:val="00B65292"/>
    <w:rsid w:val="00B67362"/>
    <w:rsid w:val="00B80B3D"/>
    <w:rsid w:val="00B917DD"/>
    <w:rsid w:val="00BA4201"/>
    <w:rsid w:val="00BB1CDF"/>
    <w:rsid w:val="00BC6A6E"/>
    <w:rsid w:val="00BD2AF9"/>
    <w:rsid w:val="00BF196B"/>
    <w:rsid w:val="00BF7509"/>
    <w:rsid w:val="00BF7C90"/>
    <w:rsid w:val="00C13E21"/>
    <w:rsid w:val="00C15938"/>
    <w:rsid w:val="00C41FC8"/>
    <w:rsid w:val="00C426EA"/>
    <w:rsid w:val="00C4635B"/>
    <w:rsid w:val="00C60E32"/>
    <w:rsid w:val="00C7065B"/>
    <w:rsid w:val="00C734C8"/>
    <w:rsid w:val="00C867DA"/>
    <w:rsid w:val="00C95009"/>
    <w:rsid w:val="00CA4E10"/>
    <w:rsid w:val="00CB49BB"/>
    <w:rsid w:val="00CB6DFD"/>
    <w:rsid w:val="00CC3557"/>
    <w:rsid w:val="00CD1561"/>
    <w:rsid w:val="00CF0A4F"/>
    <w:rsid w:val="00D346CA"/>
    <w:rsid w:val="00D43D23"/>
    <w:rsid w:val="00D600C2"/>
    <w:rsid w:val="00D80A54"/>
    <w:rsid w:val="00D902E3"/>
    <w:rsid w:val="00D94C62"/>
    <w:rsid w:val="00D94EBD"/>
    <w:rsid w:val="00DA4453"/>
    <w:rsid w:val="00DA6AC6"/>
    <w:rsid w:val="00DC5EE5"/>
    <w:rsid w:val="00DC6DDC"/>
    <w:rsid w:val="00DF29EA"/>
    <w:rsid w:val="00E02FF7"/>
    <w:rsid w:val="00E25FFE"/>
    <w:rsid w:val="00E44756"/>
    <w:rsid w:val="00E60F25"/>
    <w:rsid w:val="00EB717A"/>
    <w:rsid w:val="00ED24B5"/>
    <w:rsid w:val="00ED55F4"/>
    <w:rsid w:val="00EF1695"/>
    <w:rsid w:val="00EF4964"/>
    <w:rsid w:val="00EF5530"/>
    <w:rsid w:val="00F26ECA"/>
    <w:rsid w:val="00F46810"/>
    <w:rsid w:val="00F53148"/>
    <w:rsid w:val="00F62BD1"/>
    <w:rsid w:val="00F766F1"/>
    <w:rsid w:val="00F90DBE"/>
    <w:rsid w:val="00FA37CC"/>
    <w:rsid w:val="00FB297A"/>
    <w:rsid w:val="00FC13B7"/>
    <w:rsid w:val="00FC27F1"/>
    <w:rsid w:val="00FE63D0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7E6D"/>
    <w:pPr>
      <w:spacing w:after="0" w:line="240" w:lineRule="auto"/>
    </w:pPr>
  </w:style>
  <w:style w:type="character" w:customStyle="1" w:styleId="send-address-zip">
    <w:name w:val="send-address-zip"/>
    <w:basedOn w:val="DefaultParagraphFont"/>
    <w:rsid w:val="00C95009"/>
  </w:style>
  <w:style w:type="paragraph" w:styleId="BodyText">
    <w:name w:val="Body Text"/>
    <w:basedOn w:val="Normal"/>
    <w:link w:val="BodyTextChar"/>
    <w:uiPriority w:val="1"/>
    <w:qFormat/>
    <w:rsid w:val="00602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134"/>
    <w:rPr>
      <w:rFonts w:ascii="Calibri" w:eastAsia="Calibri" w:hAnsi="Calibri" w:cs="Calibri"/>
      <w:sz w:val="24"/>
      <w:szCs w:val="24"/>
    </w:rPr>
  </w:style>
  <w:style w:type="paragraph" w:customStyle="1" w:styleId="xmsonormal">
    <w:name w:val="x_msonormal"/>
    <w:basedOn w:val="Normal"/>
    <w:rsid w:val="00F468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7E6D"/>
    <w:pPr>
      <w:spacing w:after="0" w:line="240" w:lineRule="auto"/>
    </w:pPr>
  </w:style>
  <w:style w:type="character" w:customStyle="1" w:styleId="send-address-zip">
    <w:name w:val="send-address-zip"/>
    <w:basedOn w:val="DefaultParagraphFont"/>
    <w:rsid w:val="00C95009"/>
  </w:style>
  <w:style w:type="paragraph" w:styleId="BodyText">
    <w:name w:val="Body Text"/>
    <w:basedOn w:val="Normal"/>
    <w:link w:val="BodyTextChar"/>
    <w:uiPriority w:val="1"/>
    <w:qFormat/>
    <w:rsid w:val="00602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134"/>
    <w:rPr>
      <w:rFonts w:ascii="Calibri" w:eastAsia="Calibri" w:hAnsi="Calibri" w:cs="Calibri"/>
      <w:sz w:val="24"/>
      <w:szCs w:val="24"/>
    </w:rPr>
  </w:style>
  <w:style w:type="paragraph" w:customStyle="1" w:styleId="xmsonormal">
    <w:name w:val="x_msonormal"/>
    <w:basedOn w:val="Normal"/>
    <w:rsid w:val="00F468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c.gov/sites/default/files/dc/sites/doc/publication/attachments/DOC%20Population%20Statistics%20-%20Average%20Daily%20Population%20for%20October%202015%20through%20March%202020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dc.gov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C-Scan\Office%20Procedures\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CIC Letterhead.dotx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2</cp:revision>
  <dcterms:created xsi:type="dcterms:W3CDTF">2020-09-03T14:38:00Z</dcterms:created>
  <dcterms:modified xsi:type="dcterms:W3CDTF">2020-09-03T14:38:00Z</dcterms:modified>
</cp:coreProperties>
</file>